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A" w:rsidRPr="00723F6A" w:rsidRDefault="00AF3AA0" w:rsidP="00AF3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23F6A" w:rsidRPr="00723F6A">
        <w:rPr>
          <w:rFonts w:ascii="Times New Roman" w:hAnsi="Times New Roman" w:cs="Times New Roman"/>
          <w:sz w:val="28"/>
          <w:szCs w:val="28"/>
        </w:rPr>
        <w:t>УТВЕРЖДАЮ:</w:t>
      </w:r>
    </w:p>
    <w:p w:rsidR="00723F6A" w:rsidRPr="00723F6A" w:rsidRDefault="00AF3AA0" w:rsidP="00AF3A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Директор МКУ «Импульс</w:t>
      </w:r>
      <w:r w:rsidR="00723F6A" w:rsidRPr="00723F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3F6A" w:rsidRPr="00723F6A" w:rsidRDefault="00723F6A" w:rsidP="00723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F3A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Шубинского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AF3A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="00AF3AA0">
        <w:rPr>
          <w:rFonts w:ascii="Times New Roman" w:hAnsi="Times New Roman" w:cs="Times New Roman"/>
          <w:b w:val="0"/>
          <w:sz w:val="28"/>
          <w:szCs w:val="28"/>
        </w:rPr>
        <w:t>Л.И.Курдина</w:t>
      </w:r>
      <w:proofErr w:type="spellEnd"/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8E2E56" w:rsidRDefault="008E2E56" w:rsidP="00674C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AF3AA0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AF3AA0">
        <w:rPr>
          <w:rFonts w:ascii="Times New Roman" w:hAnsi="Times New Roman" w:cs="Times New Roman"/>
          <w:sz w:val="28"/>
          <w:szCs w:val="28"/>
        </w:rPr>
        <w:t xml:space="preserve"> м</w:t>
      </w:r>
      <w:r w:rsidR="001F2A8C">
        <w:rPr>
          <w:rFonts w:ascii="Times New Roman" w:hAnsi="Times New Roman" w:cs="Times New Roman"/>
          <w:sz w:val="28"/>
          <w:szCs w:val="28"/>
        </w:rPr>
        <w:t>униципальном казен</w:t>
      </w:r>
      <w:r w:rsidR="00AF3AA0">
        <w:rPr>
          <w:rFonts w:ascii="Times New Roman" w:hAnsi="Times New Roman" w:cs="Times New Roman"/>
          <w:sz w:val="28"/>
          <w:szCs w:val="28"/>
        </w:rPr>
        <w:t xml:space="preserve">ном учреждении </w:t>
      </w:r>
    </w:p>
    <w:p w:rsidR="005A660E" w:rsidRPr="000D1475" w:rsidRDefault="001F2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AA0">
        <w:rPr>
          <w:rFonts w:ascii="Times New Roman" w:hAnsi="Times New Roman" w:cs="Times New Roman"/>
          <w:sz w:val="28"/>
          <w:szCs w:val="28"/>
        </w:rPr>
        <w:t>Импульс»</w:t>
      </w:r>
      <w:r w:rsidR="000D0EEF">
        <w:rPr>
          <w:rFonts w:ascii="Times New Roman" w:hAnsi="Times New Roman" w:cs="Times New Roman"/>
          <w:sz w:val="28"/>
          <w:szCs w:val="28"/>
        </w:rPr>
        <w:t xml:space="preserve"> </w:t>
      </w:r>
      <w:r w:rsidR="00AF3AA0">
        <w:rPr>
          <w:rFonts w:ascii="Times New Roman" w:hAnsi="Times New Roman" w:cs="Times New Roman"/>
          <w:sz w:val="28"/>
          <w:szCs w:val="28"/>
        </w:rPr>
        <w:t xml:space="preserve"> Шубинского </w:t>
      </w:r>
      <w:r w:rsidR="000D0EE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AF3AA0">
        <w:rPr>
          <w:rFonts w:ascii="Times New Roman" w:hAnsi="Times New Roman" w:cs="Times New Roman"/>
          <w:sz w:val="28"/>
          <w:szCs w:val="28"/>
        </w:rPr>
        <w:t>МКУ «Импульс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AF3AA0">
        <w:rPr>
          <w:rFonts w:ascii="Times New Roman" w:hAnsi="Times New Roman" w:cs="Times New Roman"/>
          <w:sz w:val="28"/>
          <w:szCs w:val="28"/>
        </w:rPr>
        <w:t>Шубинского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93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 целей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4C3070" w:rsidRPr="0018562E">
        <w:rPr>
          <w:rFonts w:ascii="Times New Roman" w:hAnsi="Times New Roman" w:cs="Times New Roman"/>
          <w:sz w:val="28"/>
          <w:szCs w:val="28"/>
        </w:rPr>
        <w:t>казенно</w:t>
      </w:r>
      <w:r w:rsidR="0018562E" w:rsidRPr="0018562E">
        <w:rPr>
          <w:rFonts w:ascii="Times New Roman" w:hAnsi="Times New Roman" w:cs="Times New Roman"/>
          <w:sz w:val="28"/>
          <w:szCs w:val="28"/>
        </w:rPr>
        <w:t>го</w:t>
      </w:r>
      <w:r w:rsidR="0018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1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  <w:proofErr w:type="gramEnd"/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BE3446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E344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F3AA0">
        <w:rPr>
          <w:rFonts w:ascii="Times New Roman" w:hAnsi="Times New Roman" w:cs="Times New Roman"/>
          <w:sz w:val="28"/>
          <w:szCs w:val="28"/>
        </w:rPr>
        <w:t xml:space="preserve">МКУ «Импульс»  Шубинского 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3446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1638EF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lastRenderedPageBreak/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Pr="00E22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3A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3AF" w:rsidRPr="00E223A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</w:t>
      </w:r>
      <w:r w:rsidR="00E223AF" w:rsidRPr="00042885">
        <w:rPr>
          <w:rFonts w:ascii="Times New Roman" w:hAnsi="Times New Roman" w:cs="Times New Roman"/>
        </w:rPr>
        <w:t>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«Импульс»  Шубинского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A35BE0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3" o:title=""/>
          </v:shape>
          <o:OLEObject Type="Embed" ProgID="Word.Document.12" ShapeID="_x0000_i1025" DrawAspect="Content" ObjectID="_1556377455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«Импульс»  Шубинского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5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Шубинского</w:t>
      </w:r>
      <w:r w:rsidR="004F2519" w:rsidRPr="004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Барабинского района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A93B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4D" w:rsidRDefault="0041594D" w:rsidP="00265353">
      <w:r>
        <w:separator/>
      </w:r>
    </w:p>
  </w:endnote>
  <w:endnote w:type="continuationSeparator" w:id="0">
    <w:p w:rsidR="0041594D" w:rsidRDefault="0041594D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4D" w:rsidRDefault="0041594D" w:rsidP="00265353">
      <w:r>
        <w:separator/>
      </w:r>
    </w:p>
  </w:footnote>
  <w:footnote w:type="continuationSeparator" w:id="0">
    <w:p w:rsidR="0041594D" w:rsidRDefault="0041594D" w:rsidP="00265353">
      <w:r>
        <w:continuationSeparator/>
      </w:r>
    </w:p>
  </w:footnote>
  <w:footnote w:id="1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CF3CE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5BE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46784"/>
    <w:rsid w:val="00072317"/>
    <w:rsid w:val="000837C7"/>
    <w:rsid w:val="000861D5"/>
    <w:rsid w:val="00086632"/>
    <w:rsid w:val="000B1BB4"/>
    <w:rsid w:val="000D0EEF"/>
    <w:rsid w:val="000D1475"/>
    <w:rsid w:val="000E60DC"/>
    <w:rsid w:val="00114212"/>
    <w:rsid w:val="0013530B"/>
    <w:rsid w:val="00135BDD"/>
    <w:rsid w:val="00137039"/>
    <w:rsid w:val="00162EB3"/>
    <w:rsid w:val="001638EF"/>
    <w:rsid w:val="0018338E"/>
    <w:rsid w:val="0018562E"/>
    <w:rsid w:val="001962C0"/>
    <w:rsid w:val="001A02F4"/>
    <w:rsid w:val="001B7614"/>
    <w:rsid w:val="001C568F"/>
    <w:rsid w:val="001C7FB3"/>
    <w:rsid w:val="001F2A8C"/>
    <w:rsid w:val="002005B6"/>
    <w:rsid w:val="00265353"/>
    <w:rsid w:val="00275F09"/>
    <w:rsid w:val="00275FC3"/>
    <w:rsid w:val="00277334"/>
    <w:rsid w:val="002E0A24"/>
    <w:rsid w:val="002E660B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C7B9A"/>
    <w:rsid w:val="003D1CD3"/>
    <w:rsid w:val="003E05C0"/>
    <w:rsid w:val="003E3A0D"/>
    <w:rsid w:val="003F4782"/>
    <w:rsid w:val="00407928"/>
    <w:rsid w:val="004126C8"/>
    <w:rsid w:val="004126D9"/>
    <w:rsid w:val="00413085"/>
    <w:rsid w:val="0041594D"/>
    <w:rsid w:val="0042647B"/>
    <w:rsid w:val="004577AB"/>
    <w:rsid w:val="0047458E"/>
    <w:rsid w:val="004A1BD2"/>
    <w:rsid w:val="004B1812"/>
    <w:rsid w:val="004B21CB"/>
    <w:rsid w:val="004C3070"/>
    <w:rsid w:val="004C4064"/>
    <w:rsid w:val="004C741F"/>
    <w:rsid w:val="004D2DA7"/>
    <w:rsid w:val="004F2519"/>
    <w:rsid w:val="004F4293"/>
    <w:rsid w:val="00555F79"/>
    <w:rsid w:val="00561824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74C48"/>
    <w:rsid w:val="00682199"/>
    <w:rsid w:val="006B2B2E"/>
    <w:rsid w:val="006E541E"/>
    <w:rsid w:val="006F3400"/>
    <w:rsid w:val="00723F6A"/>
    <w:rsid w:val="00730E99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944A8"/>
    <w:rsid w:val="008B2599"/>
    <w:rsid w:val="008B3D18"/>
    <w:rsid w:val="008C03EA"/>
    <w:rsid w:val="008D6E52"/>
    <w:rsid w:val="008E2E56"/>
    <w:rsid w:val="00905853"/>
    <w:rsid w:val="009319FA"/>
    <w:rsid w:val="0095472F"/>
    <w:rsid w:val="00970AEE"/>
    <w:rsid w:val="009728F6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35BE0"/>
    <w:rsid w:val="00A53B97"/>
    <w:rsid w:val="00A83D97"/>
    <w:rsid w:val="00A84E10"/>
    <w:rsid w:val="00A925C8"/>
    <w:rsid w:val="00A93B60"/>
    <w:rsid w:val="00A96FD2"/>
    <w:rsid w:val="00AA13E3"/>
    <w:rsid w:val="00AB2254"/>
    <w:rsid w:val="00AB77F2"/>
    <w:rsid w:val="00AC5C54"/>
    <w:rsid w:val="00AC65CE"/>
    <w:rsid w:val="00AE2B74"/>
    <w:rsid w:val="00AE6FC4"/>
    <w:rsid w:val="00AF3AA0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BE3446"/>
    <w:rsid w:val="00C00F06"/>
    <w:rsid w:val="00C05E17"/>
    <w:rsid w:val="00C23747"/>
    <w:rsid w:val="00C31656"/>
    <w:rsid w:val="00C3208A"/>
    <w:rsid w:val="00C51B69"/>
    <w:rsid w:val="00C774A6"/>
    <w:rsid w:val="00CF3CE3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223AF"/>
    <w:rsid w:val="00E54F6D"/>
    <w:rsid w:val="00E76EFB"/>
    <w:rsid w:val="00EA000D"/>
    <w:rsid w:val="00EB542A"/>
    <w:rsid w:val="00EC25F5"/>
    <w:rsid w:val="00ED779A"/>
    <w:rsid w:val="00EE0898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622F2-75A8-4EF1-A718-1C7ABB0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RePack by SPecialiST</cp:lastModifiedBy>
  <cp:revision>14</cp:revision>
  <cp:lastPrinted>2016-07-05T10:43:00Z</cp:lastPrinted>
  <dcterms:created xsi:type="dcterms:W3CDTF">2016-07-05T10:53:00Z</dcterms:created>
  <dcterms:modified xsi:type="dcterms:W3CDTF">2017-05-15T11:18:00Z</dcterms:modified>
</cp:coreProperties>
</file>